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720"/>
        <w:gridCol w:w="1440"/>
        <w:gridCol w:w="1440"/>
      </w:tblGrid>
      <w:tr>
        <w:trPr>
          <w:trHeight w:val="0"/>
        </w:trPr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Департамент образования г. Энска</w:t>
            </w:r>
          </w:p>
        </w:tc>
      </w:tr>
      <w:tr>
        <w:trPr>
          <w:trHeight w:val="0"/>
        </w:trPr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школа № 1»</w:t>
            </w:r>
          </w:p>
        </w:tc>
      </w:tr>
      <w:tr>
        <w:trPr>
          <w:trHeight w:val="0"/>
        </w:trPr>
        <w:tc>
          <w:tcPr>
            <w:tcW w:w="372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201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453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372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«СОГЛАСОВАНО»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 по УВР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Серова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Е.И. Серова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года</w:t>
            </w:r>
          </w:p>
        </w:tc>
        <w:tc>
          <w:tcPr>
            <w:tcW w:w="201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453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«УТВЕРЖДЕНО»</w:t>
            </w:r>
          </w:p>
          <w:p>
            <w:pPr>
              <w:spacing w:line="240" w:lineRule="auto"/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 «Средняя школа № 1»</w:t>
            </w:r>
          </w:p>
          <w:p>
            <w:pPr>
              <w:spacing w:line="240" w:lineRule="auto"/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Андреев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А.А. Андреев</w:t>
            </w:r>
          </w:p>
          <w:p>
            <w:pPr>
              <w:spacing w:line="240" w:lineRule="auto"/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Приказ от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 сентября 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года №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Рабочая программа курса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внеурочной деятельности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общеинтеллектуального направления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Клуб «Что? Где? Когда?»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Разработал:</w:t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 внеурочной деятельности</w:t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Иванова Наталья Ивановна</w:t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21</w:t>
      </w:r>
      <w:r>
        <w:rPr>
          <w:rFonts w:hAnsi="Times New Roman" w:cs="Times New Roman"/>
          <w:color w:val="000000"/>
          <w:sz w:val="24"/>
          <w:szCs w:val="24"/>
        </w:rPr>
        <w:t xml:space="preserve"> год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Программа данного курса внеурочной деятельности реализуется в рамках инвариантного модуля рабочей программы воспитания «Курсы внеурочной деятельности» и направлена на личностное развитие школьников.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Цель курса:</w:t>
      </w:r>
      <w:r>
        <w:rPr>
          <w:rFonts w:hAnsi="Times New Roman" w:cs="Times New Roman"/>
          <w:color w:val="000000"/>
          <w:sz w:val="24"/>
          <w:szCs w:val="24"/>
        </w:rPr>
        <w:t xml:space="preserve"> включение обучающихся в коллективную творческую деятельность, выявление и развитие способностей личности, эффективная реализация ее творческого и интеллектуального потенциала.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Задачи: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Учить самостоятельно искать и получать информацию из различных источников, уметь ее анализировать и критически мыслить.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Развивать организаторские способности.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Обучать детей уважительному и толерантному общению друг с другом.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Способствовать формированию умения понимать себя и других, давать правильную оценку поступкам других людей, вести диалог, участвовать в совместных мероприятиях.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Способствовать развитию индивидуальных особенностей ученика; создать условия для творческой деятельности учащихся в предпочитаемых ими областях знаний.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Популяризовать науку через игровую деятельность.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Отличительные особенности программы: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содержание доступно для учащихся;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реализация программы способствует созданию зоны комфорта и улучшению эмоционального фона;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программа дает возможность работы с учащимися, имеющими разный уровень интеллектуальных возможностей;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проведение занятий по данной программе позволяет учащимся проявить себя не только в качестве участников интеллектуальных игр, но и в качестве организаторов;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программа предполагает приобретение учащимися опыта индивидуальной и коллективной работы.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Формы и методы работы: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индивидуальная и групповая формы;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беседа, дискуссия;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иллюстрация, познавательная игра;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работа с книгой, работа с цифровыми ресурсами, просмотр видеозаписей.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Формы контроля воспитанников: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входящий контроль включает в себя проведение тестовой игры «Что? Где? Когда?» (мониторинг), позволяющей сформировать необходимые сведения об уровне подготовки ребенка;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промежуточный контроль (игра «Брейн-ринг») проводится в середине года, позволяет отследить уровень интеллектуальной подготовки за полгода;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итоговый контроль (заключительная игра «Что? Где? Когда?»).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СОДЕРЖАНИЕ ПРОГРАММЫ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 Введение в игру (1 ч). Нормы поведения в интеллектуальном клубе и кодекс чести знатока. Особенности игры «Что? Где? Когда?». Правила игры. Варианты игры: классическая игра, брейн-ринг (игра двух команд), спортивная игра (одновременная игра нескольких команд). Вопросы к игре и их особенности. Поведение каждого в команде. Командный дух. Роль и действия капитана. Первые игровые пробы.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 Компоненты успешной игры (2 ч). Эрудиция. Логика. Нестандартное мышление. Внимание к деталям. Выделение главного. Умение слышать друг друга. Скорость реакции. Интуиция. Находчивость. Чувство юмора. Умение сдерживать эмоции. Примеры применения каждого компонента успешной игры. Игровые пробы.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 Техника мозгового штурма (5 ч). Правила мозгового штурма. Проведение мозгового штурма в разных проблемных ситуациях: практические занятия. Коллективный анализ каждого мозгового штурма: чего удалось достичь команде, какие трудности встретились на пути, самооценка действий школьника во время мозгового штурма, оценка педагогом умения каждого школьника работать в команде. Игровые пробы.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 Составление вопросов к играм (5 ч). Правила составления вопросов. Использование словарей и энциклопедий для составления вопросов. Использование научно-популярных журналов, художественной литературы и кино для составления вопросов. Роль широкого кругозора и эрудиции в составлении вопросов. Ценность знания и преимущества эрудированного человека в игре и повседневной жизни. Самостоятельная домашняя индивидуальная работа школьников по составлению вопросов к играм. Разбор составленных вопросов на занятиях. Игры с использованием самостоятельно разработанных вопросов.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 Игры «Что? Где? Когда?» (10 ч). Тренировочные игры «Что? Где? Когда?». Тематические игры. Клубный турнир «Что? Где? Когда?».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 Другие интеллектуальные викторины (6 ч). «Своя игра», «Пентагон», «Эрудит-лото», «Перевертыши» и т. п.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 Социальные пробы (6 ч). Самостоятельная подготовка, организация, проведение и последующий анализ членами клуба интеллектуальных викторин. Самостоятельная подготовка, организация, проведение и последующий анализ членами клуба общешкольного турнира «Брейн-ринг». Организация и проведение турниров «Брейн-ринг».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Личностные универсальные учебные действия:</w:t>
      </w:r>
    </w:p>
    <w:p>
      <w:pPr>
        <w:numPr>
          <w:ilvl w:val="0"/>
          <w:numId w:val="5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положительное отношение к исследовательской деятельности;</w:t>
      </w:r>
    </w:p>
    <w:p>
      <w:pPr>
        <w:numPr>
          <w:ilvl w:val="0"/>
          <w:numId w:val="5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широкая мотивационная основа исследовательской деятельности, включающая социальные, учебно-познавательные и внешние мотивы;</w:t>
      </w:r>
    </w:p>
    <w:p>
      <w:pPr>
        <w:numPr>
          <w:ilvl w:val="0"/>
          <w:numId w:val="5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интерес к новому содержанию и новым способам познания;</w:t>
      </w:r>
    </w:p>
    <w:p>
      <w:pPr>
        <w:numPr>
          <w:ilvl w:val="0"/>
          <w:numId w:val="5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ориентация на понимание причин успеха в исследовательской деятельности, в том числе на самоанализ и самоконтроль результата, на анализ соответствия результатов требованиям конкретной задачи, понимание предложений и оценок учителя, взрослых, товарищей, родителей;</w:t>
      </w:r>
    </w:p>
    <w:p>
      <w:pPr>
        <w:numPr>
          <w:ilvl w:val="0"/>
          <w:numId w:val="5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способность к самооценке на основе критериев успешности исследовательской деятельности.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Обучающийся получит возможность для формирования:</w:t>
      </w:r>
    </w:p>
    <w:p>
      <w:pPr>
        <w:numPr>
          <w:ilvl w:val="0"/>
          <w:numId w:val="6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внутренней позиции на уровне понимания обучающимся необходимости исследовательской деятельности, выраженного в преобладании познавательных мотивов и предпочтении социального способа оценки деятельности;</w:t>
      </w:r>
    </w:p>
    <w:p>
      <w:pPr>
        <w:numPr>
          <w:ilvl w:val="0"/>
          <w:numId w:val="6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выраженной познавательной мотивации;</w:t>
      </w:r>
    </w:p>
    <w:p>
      <w:pPr>
        <w:numPr>
          <w:ilvl w:val="0"/>
          <w:numId w:val="6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устойчивого интереса к новым способам познания;</w:t>
      </w:r>
    </w:p>
    <w:p>
      <w:pPr>
        <w:numPr>
          <w:ilvl w:val="0"/>
          <w:numId w:val="6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адекватного понимания причин успешности/неуспешности исследовательской деятельности;</w:t>
      </w:r>
    </w:p>
    <w:p>
      <w:pPr>
        <w:numPr>
          <w:ilvl w:val="0"/>
          <w:numId w:val="6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морального сознания, способности к решению моральных проблем на основе учета позиций партнеров в общении, устойчивого следования в поведении моральным нормам и этическим требованиям.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Регулятивные УУД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принимать и сохранять учебную задачу;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учитывать выделенные учителем ориентиры действий;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планировать свои действия;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осуществлять итоговый и пошаговый контроль;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адекватно воспринимать оценку учителя;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различать способ и результат действия;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оценивать свои действия на уровне ретро-оценки;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вносить коррективы в действия на основе их оценки и учета сделанных ошибок;</w:t>
      </w:r>
    </w:p>
    <w:p>
      <w:pPr>
        <w:numPr>
          <w:ilvl w:val="0"/>
          <w:numId w:val="7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выполнять учебные действия в материале, речи, в уме.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Познавательные УУД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осуществлять поиск нужной информации для выполнения учебного исследования с использованием учебной и дополнительной литературы в открытом информационном пространстве, в том числе контролируемом пространстве интернета;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использовать знаки, символы, модели, схемы для решения познавательных задач и представления их результатов;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высказываться в устной и письменной формах;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ориентироваться на разные способы решения познавательных исследовательских задач;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владеть основами смыслового чтения текста;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анализировать объекты, выделять главное;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осуществлять синтез (целое из частей);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проводить сравнение, сериацию, классификацию по разным критериям;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устанавливать причинно-следственные связи;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строить рассуждения об объекте;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обобщать (выделять класс объектов по какому-либо признаку);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подводить под понятие;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устанавливать аналогии;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оперировать такими понятиями, как проблема, гипотеза, наблюдение, эксперимент, умозаключение, вывод и т. п.;</w:t>
      </w:r>
    </w:p>
    <w:p>
      <w:pPr>
        <w:numPr>
          <w:ilvl w:val="0"/>
          <w:numId w:val="8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видеть проблемы, ставить вопросы, выдвигать гипотезы, планировать и проводить наблюдения и эксперименты, высказывать суждения, делать умозаключения и выводы, аргументировать (защищать) свои идеи и т. п.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Коммуникативные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допускать существование различных точек зрения;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учитывать разные мнения, стремиться к координации;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формулировать собственное мнение и позицию;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договариваться, приходить к общему решению;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соблюдать корректность в высказываниях;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задавать вопросы по существу;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использовать речь для регуляции своего действия;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контролировать действия партнера;</w:t>
      </w:r>
    </w:p>
    <w:p>
      <w:pPr>
        <w:numPr>
          <w:ilvl w:val="0"/>
          <w:numId w:val="9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владеть монологической и диалогической формами речи.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Прогнозируемые воспитательные результаты и эффект от деятельности обучающихся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Первый уровень результатов</w:t>
      </w:r>
      <w:r>
        <w:rPr>
          <w:rFonts w:hAnsi="Times New Roman" w:cs="Times New Roman"/>
          <w:color w:val="000000"/>
          <w:sz w:val="24"/>
          <w:szCs w:val="24"/>
        </w:rPr>
        <w:t xml:space="preserve"> – приобретение обучающимся первичного понимания социальной реальности и повседневной жизни во взаимодействии обучающегося со своими учителями как значимыми для него носителями положительного социального знания и повседневного опыта.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Второй уровень результатов</w:t>
      </w:r>
      <w:r>
        <w:rPr>
          <w:rFonts w:hAnsi="Times New Roman" w:cs="Times New Roman"/>
          <w:color w:val="000000"/>
          <w:sz w:val="24"/>
          <w:szCs w:val="24"/>
        </w:rPr>
        <w:t xml:space="preserve"> – получение обучающимся опыта переживания и позитивного отношения к базовым ценностям общества, ценностного отношения к социальной реальности в целом при взаимодействии обучающихся между собой на уровне класса, образовательного учреждения, то есть в защищенной, дружественной просоциальной среде.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Третий уровень результатов</w:t>
      </w:r>
      <w:r>
        <w:rPr>
          <w:rFonts w:hAnsi="Times New Roman" w:cs="Times New Roman"/>
          <w:color w:val="000000"/>
          <w:sz w:val="24"/>
          <w:szCs w:val="24"/>
        </w:rPr>
        <w:t xml:space="preserve"> – получение обучающимся опыта самостоятельного общественного действия во взаимодействии обучающегося с представителями различных социальных субъектов за пределами образовательного учреждения, в открытой общественной среде.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br/>
      </w:r>
      <w:r>
        <w:rPr>
          <w:rFonts w:hAnsi="Times New Roman" w:cs="Times New Roman"/>
          <w:b/>
          <w:bCs/>
          <w:color w:val="000000"/>
          <w:sz w:val="24"/>
          <w:szCs w:val="24"/>
        </w:rPr>
        <w:t>ТЕМАТИЧЕСКИЙ ПЛАН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Тематическое планирование рабочей программы внеурочной деятельности «Что? Где? Когда?» составлено с учетом рабочей программы воспитания и календарного плана воспитательной работы.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  <w:gridCol w:w="1440"/>
        <w:gridCol w:w="1440"/>
      </w:tblGrid>
      <w:tr>
        <w:trPr>
          <w:trHeight w:val="5"/>
        </w:trPr>
        <w:tc>
          <w:tcPr>
            <w:tcW w:w="67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3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 темы урока</w:t>
            </w:r>
          </w:p>
        </w:tc>
        <w:tc>
          <w:tcPr>
            <w:tcW w:w="4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>
        <w:trPr>
          <w:trHeight w:val="5"/>
        </w:trPr>
        <w:tc>
          <w:tcPr>
            <w:tcW w:w="673" w:type="dxa"/>
            <w:vMerge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7305" w:type="dxa"/>
            <w:vMerge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</w:tr>
      <w:tr>
        <w:trPr>
          <w:trHeight w:val="0"/>
        </w:trPr>
        <w:tc>
          <w:tcPr>
            <w:tcW w:w="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Организационное собрание (введение в игру)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Многообразие интеллектуальных игр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«Брейн-ринг»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«Что? Где? Когда?»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«Своя игра»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«Эрудит»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«Поле чудес»</w:t>
            </w:r>
          </w:p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«Пентагон»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>
        <w:trPr>
          <w:trHeight w:val="0"/>
        </w:trPr>
        <w:tc>
          <w:tcPr>
            <w:tcW w:w="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>
        <w:trPr>
          <w:trHeight w:val="0"/>
        </w:trPr>
        <w:tc>
          <w:tcPr>
            <w:tcW w:w="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7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</w:tr>
    </w:tbl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РЕСУРСНОЕ ОБЕСПЕЧЕНИЕ ПРОГРАММЫ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Литература для учителя и обучающихся:</w:t>
      </w:r>
    </w:p>
    <w:p>
      <w:pPr>
        <w:numPr>
          <w:ilvl w:val="0"/>
          <w:numId w:val="10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Григорьев Д.В. Программа внеурочной деятельности. Познавательная деятельность. Проблемно-ценностное общение. – М.: Просвещение, 2011.</w:t>
      </w:r>
    </w:p>
    <w:p>
      <w:pPr>
        <w:numPr>
          <w:ilvl w:val="0"/>
          <w:numId w:val="10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Детские энциклопедии, справочники и другая аналогичная литература.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ПЕРЕЧЕНЬ МАТЕРИАЛЬНО-ТЕХНИЧЕСКОГО ОБЕСПЕЧЕНИЯ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ПК, электронная доска, принтер, возможность выхода в интернет.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КАЛЕНДАРНО-ТЕМАТИЧЕСКИЙ ПЛАН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  <w:gridCol w:w="1440"/>
        <w:gridCol w:w="1440"/>
        <w:gridCol w:w="1440"/>
      </w:tblGrid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 темы урока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Организационное собрание (ознакомительное)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Многообразие интеллектуальных игр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«Брейн- ринг»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Написание вопросов для игры «Брейн-ринг»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«Брейн- ринг»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«Брейн- ринг»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«Брейн-ринг»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«Что? Где? Когда?». Какие бывают вопросы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Написание вопросов для игры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 «Что? Где? Когда?»,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«Веселый праздник Новый год»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«Своя игра»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заданий для игры «Своя игра»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«Своя игра»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«Своя игра»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 «Своя игра», «В мире интересного»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«Эрудит»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заданий для игры «Эрудит»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«Эрудит»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«Эрудит»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 «Эрудит», «Ежели Вы вежливы»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«Поле чудес»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заданий для игры «Поле чудес»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«Поле чудес»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«Поле чудес»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 «Поле чудес», «В мире сказок»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«Пентагон»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заданий для игры «Пентагон»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«Пентагон»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по игре «Пентагон»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 «Пентагон»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занятие: заключительная игра «Что? Где? Когда?»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</w:tr>
      <w:tr>
        <w:trPr>
          <w:trHeight w:val="0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9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</w:tr>
    </w:tbl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xmlns:w="http://schemas.openxmlformats.org/wordprocessingml/2006/main" w:abstractNumId="1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2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3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4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5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6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7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8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9"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475c0c9a5c42471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dcterms:created xsi:type="dcterms:W3CDTF">2011-11-02T04:15:00Z</dcterms:created>
  <dcterms:modified xsi:type="dcterms:W3CDTF">2012-05-05T09:54:00Z</dcterms:modified>
</cp:coreProperties>
</file>